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2C" w:rsidRPr="00A24628" w:rsidRDefault="006D1271" w:rsidP="001508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9F5E2C" w:rsidRPr="00A24628" w:rsidSect="006D1271">
          <w:footerReference w:type="default" r:id="rId8"/>
          <w:footerReference w:type="firs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6D1271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9790" cy="8152653"/>
            <wp:effectExtent l="0" t="0" r="0" b="0"/>
            <wp:docPr id="1" name="Рисунок 1" descr="C:\Users\user\Desktop\ФК ГОС 11 класс\ФК ГОС 11 класс\сканы раб.прогр 11 класс\Англ. язык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К ГОС 11 класс\ФК ГОС 11 класс\сканы раб.прогр 11 класс\Англ. язык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E2C" w:rsidRPr="006D1271" w:rsidRDefault="009F5E2C" w:rsidP="009F5E2C">
      <w:pPr>
        <w:widowControl w:val="0"/>
        <w:tabs>
          <w:tab w:val="left" w:pos="3900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  <w:lang w:bidi="ru-RU"/>
        </w:rPr>
      </w:pPr>
      <w:r w:rsidRPr="006D1271">
        <w:rPr>
          <w:rFonts w:ascii="Times New Roman" w:eastAsia="Arial Unicode MS" w:hAnsi="Times New Roman" w:cs="Times New Roman"/>
          <w:b/>
          <w:caps/>
          <w:color w:val="000000"/>
          <w:sz w:val="26"/>
          <w:szCs w:val="26"/>
          <w:lang w:bidi="ru-RU"/>
        </w:rPr>
        <w:lastRenderedPageBreak/>
        <w:t>Содержание</w:t>
      </w:r>
    </w:p>
    <w:tbl>
      <w:tblPr>
        <w:tblStyle w:val="a6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992"/>
      </w:tblGrid>
      <w:tr w:rsidR="00A24628" w:rsidRPr="005C5876" w:rsidTr="006327D9">
        <w:tc>
          <w:tcPr>
            <w:tcW w:w="7338" w:type="dxa"/>
          </w:tcPr>
          <w:p w:rsidR="00A24628" w:rsidRPr="00AA5B24" w:rsidRDefault="00A24628" w:rsidP="006D1271">
            <w:pPr>
              <w:pStyle w:val="a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5B24">
              <w:rPr>
                <w:rFonts w:ascii="Times New Roman" w:hAnsi="Times New Roman"/>
                <w:sz w:val="26"/>
                <w:szCs w:val="26"/>
              </w:rPr>
              <w:t>Пояснительная записка</w:t>
            </w:r>
          </w:p>
          <w:p w:rsidR="00AA5B24" w:rsidRDefault="00AA5B24" w:rsidP="006D1271">
            <w:pPr>
              <w:pStyle w:val="a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876">
              <w:rPr>
                <w:rFonts w:ascii="Times New Roman" w:hAnsi="Times New Roman"/>
                <w:sz w:val="26"/>
                <w:szCs w:val="26"/>
              </w:rPr>
              <w:t>Учебно-тематическое планирование</w:t>
            </w:r>
          </w:p>
          <w:p w:rsidR="00AA5B24" w:rsidRDefault="00AA5B24" w:rsidP="006D1271">
            <w:pPr>
              <w:pStyle w:val="a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876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</w:p>
          <w:p w:rsidR="00AA5B24" w:rsidRDefault="00AA5B24" w:rsidP="006D1271">
            <w:pPr>
              <w:pStyle w:val="a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876">
              <w:rPr>
                <w:rFonts w:ascii="Times New Roman" w:hAnsi="Times New Roman"/>
                <w:sz w:val="26"/>
                <w:szCs w:val="26"/>
              </w:rPr>
              <w:t>Требования к уровню подготовки выпускников</w:t>
            </w:r>
          </w:p>
          <w:p w:rsidR="00AA5B24" w:rsidRPr="00AA5B24" w:rsidRDefault="00AA5B24" w:rsidP="006D1271">
            <w:pPr>
              <w:pStyle w:val="ad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5876">
              <w:rPr>
                <w:rFonts w:ascii="Times New Roman" w:hAnsi="Times New Roman"/>
                <w:sz w:val="26"/>
                <w:szCs w:val="26"/>
              </w:rPr>
              <w:t>Список литературы</w:t>
            </w:r>
          </w:p>
          <w:p w:rsidR="00A24628" w:rsidRPr="005C5876" w:rsidRDefault="00A24628" w:rsidP="006D1271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4628" w:rsidRPr="005C5876" w:rsidRDefault="00A24628" w:rsidP="006D1271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24628" w:rsidRDefault="00A24628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327D9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  <w:p w:rsidR="006327D9" w:rsidRDefault="006327D9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6</w:t>
            </w:r>
          </w:p>
          <w:p w:rsidR="006327D9" w:rsidRDefault="006327D9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7</w:t>
            </w:r>
          </w:p>
          <w:p w:rsidR="006327D9" w:rsidRDefault="006327D9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  <w:p w:rsidR="006327D9" w:rsidRPr="005C5876" w:rsidRDefault="006327D9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12</w:t>
            </w:r>
          </w:p>
          <w:p w:rsidR="00A24628" w:rsidRPr="005C5876" w:rsidRDefault="00A24628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C587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24628" w:rsidRPr="005C5876" w:rsidRDefault="00A24628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4628" w:rsidRPr="005C5876" w:rsidRDefault="00A24628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4628" w:rsidRPr="005C5876" w:rsidRDefault="00A24628" w:rsidP="006D1271">
            <w:pPr>
              <w:spacing w:line="360" w:lineRule="auto"/>
              <w:ind w:left="-157" w:firstLine="8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4628" w:rsidRPr="005C5876" w:rsidRDefault="00A24628" w:rsidP="006D1271">
            <w:pPr>
              <w:spacing w:line="360" w:lineRule="auto"/>
              <w:ind w:left="87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9F5E2C" w:rsidRPr="00A24628" w:rsidRDefault="009F5E2C" w:rsidP="009F5E2C">
      <w:pPr>
        <w:widowControl w:val="0"/>
        <w:tabs>
          <w:tab w:val="left" w:pos="390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23D9F" w:rsidRPr="00A24628" w:rsidRDefault="00E23D9F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23D9F" w:rsidRPr="00A24628" w:rsidRDefault="00E23D9F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23D9F" w:rsidRPr="00A24628" w:rsidRDefault="00E23D9F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23D9F" w:rsidRDefault="00E23D9F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27D9" w:rsidRDefault="006327D9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27D9" w:rsidRDefault="006327D9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27D9" w:rsidRDefault="006327D9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27D9" w:rsidRDefault="006327D9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27D9" w:rsidRDefault="006327D9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27D9" w:rsidRDefault="006327D9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327D9" w:rsidRPr="00A24628" w:rsidRDefault="006327D9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23D9F" w:rsidRPr="00A24628" w:rsidRDefault="00E23D9F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E23D9F" w:rsidRPr="00A24628" w:rsidRDefault="00E23D9F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20F1F" w:rsidRPr="00A24628" w:rsidRDefault="00220F1F" w:rsidP="00220F1F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D1271" w:rsidRDefault="006D1271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2B48BE" w:rsidRPr="006D1271" w:rsidRDefault="002B48BE" w:rsidP="00220F1F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  <w:r w:rsidRPr="006D1271"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  <w:lastRenderedPageBreak/>
        <w:t>Пояснительная записка</w:t>
      </w:r>
    </w:p>
    <w:p w:rsidR="002B48BE" w:rsidRPr="00A24628" w:rsidRDefault="002B48BE" w:rsidP="009F5E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Рабочая программа по иностранному языку</w:t>
      </w:r>
      <w:r w:rsidR="006D12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(английскому)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(базовый уровень) при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 и на основе программы курса английского языка к УМК «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val="en-US" w:eastAsia="en-US"/>
        </w:rPr>
        <w:t>RainbowEnglish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» для 11 классов </w:t>
      </w:r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Афанасьевой О.В., Михеевой И.В., Барановой К.М.</w:t>
      </w:r>
    </w:p>
    <w:p w:rsidR="002B48BE" w:rsidRPr="00A24628" w:rsidRDefault="002B48BE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Уровень программы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: базо</w:t>
      </w:r>
      <w:r w:rsidR="00B8201B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вый. Программа рассчитана на 102 </w:t>
      </w:r>
      <w:r w:rsidR="006D1271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часов (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3 часа в неделю). </w:t>
      </w:r>
    </w:p>
    <w:p w:rsidR="002B48BE" w:rsidRPr="00A24628" w:rsidRDefault="002B48BE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Изучение иностранного языка</w:t>
      </w:r>
      <w:r w:rsidR="006D12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(английского)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 базовом уровне среднего общего образования направлено на достижение следующих </w:t>
      </w:r>
      <w:r w:rsidRPr="00A2462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>целей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: </w:t>
      </w:r>
    </w:p>
    <w:p w:rsidR="002B48BE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 </w:t>
      </w:r>
      <w:r w:rsidR="002B48BE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2B48BE" w:rsidRPr="00A24628" w:rsidRDefault="002B48BE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аудировании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чтении и письме); умений планировать свое речевое и неречевое поведение; </w:t>
      </w:r>
    </w:p>
    <w:p w:rsidR="002B48BE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 </w:t>
      </w:r>
      <w:r w:rsidR="002B48BE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2B48BE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 </w:t>
      </w:r>
      <w:r w:rsidR="002B48BE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2B48BE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 </w:t>
      </w:r>
      <w:r w:rsidR="002B48BE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компенсаторная компетенция -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2B48BE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 </w:t>
      </w:r>
      <w:r w:rsidR="002B48BE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 </w:t>
      </w:r>
    </w:p>
    <w:p w:rsidR="00073A29" w:rsidRPr="00A24628" w:rsidRDefault="009F5E2C" w:rsidP="009F5E2C">
      <w:pPr>
        <w:pStyle w:val="Default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24628">
        <w:rPr>
          <w:rFonts w:eastAsiaTheme="minorHAnsi"/>
          <w:sz w:val="26"/>
          <w:szCs w:val="26"/>
          <w:lang w:eastAsia="en-US"/>
        </w:rPr>
        <w:t>– </w:t>
      </w:r>
      <w:r w:rsidR="002B48BE" w:rsidRPr="00A24628">
        <w:rPr>
          <w:rFonts w:eastAsiaTheme="minorHAnsi"/>
          <w:sz w:val="26"/>
          <w:szCs w:val="26"/>
          <w:lang w:eastAsia="en-US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</w:t>
      </w:r>
      <w:proofErr w:type="spellStart"/>
      <w:r w:rsidR="002B48BE" w:rsidRPr="00A24628">
        <w:rPr>
          <w:rFonts w:eastAsiaTheme="minorHAnsi"/>
          <w:sz w:val="26"/>
          <w:szCs w:val="26"/>
          <w:lang w:eastAsia="en-US"/>
        </w:rPr>
        <w:t>в</w:t>
      </w:r>
      <w:r w:rsidR="00073A29" w:rsidRPr="00A24628">
        <w:rPr>
          <w:rFonts w:eastAsiaTheme="minorHAnsi"/>
          <w:sz w:val="26"/>
          <w:szCs w:val="26"/>
          <w:lang w:eastAsia="en-US"/>
        </w:rPr>
        <w:t>других</w:t>
      </w:r>
      <w:proofErr w:type="spellEnd"/>
      <w:r w:rsidR="00073A29" w:rsidRPr="00A24628">
        <w:rPr>
          <w:rFonts w:eastAsiaTheme="minorHAnsi"/>
          <w:sz w:val="26"/>
          <w:szCs w:val="26"/>
          <w:lang w:eastAsia="en-US"/>
        </w:rPr>
        <w:t xml:space="preserve">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:rsidR="00D47417" w:rsidRDefault="00D47417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</w:pPr>
    </w:p>
    <w:p w:rsidR="00073A29" w:rsidRPr="00A24628" w:rsidRDefault="00073A29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Общая характеристика учебного предмета </w:t>
      </w:r>
    </w:p>
    <w:p w:rsidR="00073A29" w:rsidRPr="00A24628" w:rsidRDefault="00073A29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eastAsia="en-US"/>
        </w:rPr>
        <w:lastRenderedPageBreak/>
        <w:t xml:space="preserve">Базовый уровень 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можно рассматривать как инвариантный компонент филологического образования при получении среднего общего образования, связанный с приоритетными воспитательными задачами учебной деятельности. </w:t>
      </w:r>
    </w:p>
    <w:p w:rsidR="00073A29" w:rsidRPr="00A24628" w:rsidRDefault="00073A29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процессе обучения по курсу "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val="en-US" w:eastAsia="en-US"/>
        </w:rPr>
        <w:t>RainbowEnglish</w:t>
      </w:r>
      <w:proofErr w:type="spellEnd"/>
      <w:r w:rsidR="00B8201B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" в 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11-х классах развивается </w:t>
      </w:r>
      <w:r w:rsidRPr="00A2462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коммуникативная компетенция 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на английском языке в совокупности ее составляющих – речевой, языковой, социокультурной, компенсаторной, учебно-познавательной, а именно: </w:t>
      </w:r>
    </w:p>
    <w:p w:rsidR="00073A29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– </w:t>
      </w:r>
      <w:r w:rsidR="00073A29"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речевая компетенция 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</w:t>
      </w:r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развиваются сформированные на базе основной школы коммуникативные умения в говорении, 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аудировании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чтении, письме с тем, чтобы школьники достигли общеевропейского порогового уровня 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обученности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Bl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/ 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Threshold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level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(согласно документам Совета Европы) / 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Intermediate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level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); </w:t>
      </w:r>
    </w:p>
    <w:p w:rsidR="00073A29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– </w:t>
      </w:r>
      <w:r w:rsidR="00073A29"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языковая компетенция </w:t>
      </w:r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– систематизируются ранее усвоенные и накапливаются новые языковые средства, обеспечивающие возможность общаться на темы, предусмотренные стандартом и примерной программой по английскому языку для данного этапа школьного образования; </w:t>
      </w:r>
    </w:p>
    <w:p w:rsidR="00073A29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– </w:t>
      </w:r>
      <w:r w:rsidR="00073A29"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социокультурная компетенция </w:t>
      </w:r>
      <w:r w:rsidR="00073A29" w:rsidRPr="00A2462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eastAsia="en-US"/>
        </w:rPr>
        <w:t xml:space="preserve">– </w:t>
      </w:r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школьники приобщаются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15-17 лет, соответствующих их психологическим особенностям. Формируется умение выделять общее и специфическое в культуре родной страны и стран, говорящих на английском языке, строить свое речевое и неречевое поведение, исходя из этой специфики; представлять свою собственную страну в условиях межкультурного общения посредством мобилизации жизненного опыта учащихся, наблюдений за событиями, происходящими в реальности, и ознакомления их с соответствующим страноведческим, </w:t>
      </w:r>
      <w:proofErr w:type="spellStart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культуроведческим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социолингвистическим материалом, представленным в учебном курсе "</w:t>
      </w:r>
      <w:proofErr w:type="spellStart"/>
      <w:r w:rsidR="009771A6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val="en-US" w:eastAsia="en-US"/>
        </w:rPr>
        <w:t>RainbowEnglish</w:t>
      </w:r>
      <w:proofErr w:type="spellEnd"/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"; </w:t>
      </w:r>
    </w:p>
    <w:p w:rsidR="00073A29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– </w:t>
      </w:r>
      <w:r w:rsidR="00073A29"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компенсаторная компетенция </w:t>
      </w:r>
      <w:r w:rsidR="00073A29" w:rsidRPr="00A24628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eastAsia="en-US"/>
        </w:rPr>
        <w:t xml:space="preserve">– </w:t>
      </w:r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развиваются умения в процессе общения выходить из затруднительного положения, вызванного нехваткой языковых средств за счет перифраза, использования синонимов, дефиниций, а также таких невербальных средств, как жесты, мимика; </w:t>
      </w:r>
    </w:p>
    <w:p w:rsidR="00073A29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>– </w:t>
      </w:r>
      <w:r w:rsidR="00073A29" w:rsidRPr="00A24628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eastAsia="en-US"/>
        </w:rPr>
        <w:t xml:space="preserve">учебно-познавательная компетенция </w:t>
      </w:r>
      <w:r w:rsidR="00073A29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– развивается желание и умение школьников самостоятельно изучать английский язык доступными им способами (например, в процессе поиска и обработки информации на английском языке при выполнении проектов, с помощью интернета и т. п.); использовать специальные учебные умения (умение пользоваться словарями и справочниками, умение интерпретировать информацию устного и письменного текста и др.); пользоваться современными информационными технологиями, опираясь на владение английским языком. </w:t>
      </w:r>
    </w:p>
    <w:p w:rsidR="00073A29" w:rsidRPr="00A24628" w:rsidRDefault="00073A29" w:rsidP="00896878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896878">
        <w:rPr>
          <w:rFonts w:ascii="Times New Roman" w:eastAsiaTheme="minorHAnsi" w:hAnsi="Times New Roman" w:cs="Times New Roman"/>
          <w:b/>
          <w:bCs/>
          <w:iCs/>
          <w:color w:val="000000"/>
          <w:sz w:val="26"/>
          <w:szCs w:val="26"/>
          <w:lang w:eastAsia="en-US"/>
        </w:rPr>
        <w:t xml:space="preserve">Результаты обучения </w:t>
      </w:r>
      <w:r w:rsidR="00896878" w:rsidRPr="0089687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Результаты изучения предмета иностранный язык приведены в разделе «Требования к уровню подготовки выпускников», который полностью соответствует стандарту. </w:t>
      </w:r>
    </w:p>
    <w:p w:rsidR="002B48BE" w:rsidRPr="00A24628" w:rsidRDefault="00073A29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Требования направлены на реализацию личностно-ориентированного,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деятельностного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практико-ориентированного подходов и задаются по трем базовым основаниям: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2B48BE" w:rsidRPr="00A24628" w:rsidRDefault="002B48BE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48BE" w:rsidRPr="00A24628" w:rsidRDefault="002B48BE" w:rsidP="00220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5B24" w:rsidRDefault="00AA5B24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D1271" w:rsidRDefault="006D1271" w:rsidP="00AA5B2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6D1271" w:rsidRDefault="006D1271" w:rsidP="00AA5B2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6D1271" w:rsidRDefault="006D1271" w:rsidP="00AA5B2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6D1271" w:rsidRDefault="006D1271" w:rsidP="00AA5B2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AA5B24" w:rsidRPr="006D1271" w:rsidRDefault="00AA5B24" w:rsidP="00AA5B2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caps/>
          <w:color w:val="000000"/>
          <w:sz w:val="26"/>
          <w:szCs w:val="26"/>
          <w:lang w:eastAsia="en-US"/>
        </w:rPr>
      </w:pPr>
      <w:r w:rsidRPr="006D1271"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3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89"/>
        <w:gridCol w:w="1701"/>
      </w:tblGrid>
      <w:tr w:rsidR="00AA5B24" w:rsidRPr="00A24628" w:rsidTr="00DF7633">
        <w:trPr>
          <w:trHeight w:val="140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</w:p>
        </w:tc>
      </w:tr>
      <w:tr w:rsidR="00AA5B24" w:rsidRPr="00A24628" w:rsidTr="00DF7633">
        <w:trPr>
          <w:trHeight w:val="11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Социально-бытовая сфера </w:t>
            </w:r>
          </w:p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Общение в семье и в школе, межличностные отношения с друзьями и знакомыми.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5B24" w:rsidRPr="00A24628" w:rsidTr="00DF7633">
        <w:trPr>
          <w:trHeight w:val="9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Социально-культурная сфера </w:t>
            </w:r>
          </w:p>
          <w:p w:rsidR="00AA5B24" w:rsidRPr="00A24628" w:rsidRDefault="00AA5B24" w:rsidP="00B66CB3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Молодежь в современном обществе.</w:t>
            </w:r>
          </w:p>
          <w:p w:rsidR="00AA5B24" w:rsidRPr="00A24628" w:rsidRDefault="00AA5B24" w:rsidP="00B66CB3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 молодёжи: посещение кружков, спортивных секций и клубов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5B24" w:rsidRPr="00A24628" w:rsidTr="00DF7633">
        <w:trPr>
          <w:trHeight w:val="6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Страна/страны изучаемого языка, их культурные достопримечательности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5B24" w:rsidRPr="00A24628" w:rsidTr="00DF7633">
        <w:trPr>
          <w:trHeight w:val="7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по своей стране и за рубежом, его планирование и организация, места и условия проживания туристов, осмотр достопримечательностей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A5B24" w:rsidRPr="00A24628" w:rsidTr="00DF76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Природа и экология, </w:t>
            </w:r>
            <w:r w:rsidRPr="00A2462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научно-технический прогресс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AA5B24" w:rsidRPr="00A24628" w:rsidTr="00DF7633">
        <w:trPr>
          <w:trHeight w:val="19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4628">
              <w:rPr>
                <w:rFonts w:ascii="Times New Roman" w:hAnsi="Times New Roman"/>
                <w:b/>
                <w:sz w:val="26"/>
                <w:szCs w:val="26"/>
              </w:rPr>
              <w:t xml:space="preserve">Учебно-трудовая сфера  </w:t>
            </w:r>
          </w:p>
          <w:p w:rsidR="00AA5B24" w:rsidRPr="00A24628" w:rsidRDefault="00AA5B24" w:rsidP="00B66CB3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4628">
              <w:rPr>
                <w:rFonts w:ascii="Times New Roman" w:hAnsi="Times New Roman"/>
                <w:sz w:val="26"/>
                <w:szCs w:val="26"/>
              </w:rPr>
              <w:t xml:space="preserve">Современный мир профессий. Возможности продолжения образования в высшей школе. </w:t>
            </w:r>
          </w:p>
          <w:p w:rsidR="00AA5B24" w:rsidRPr="00A24628" w:rsidRDefault="00AA5B24" w:rsidP="00B66CB3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4628">
              <w:rPr>
                <w:rFonts w:ascii="Times New Roman" w:hAnsi="Times New Roman"/>
                <w:sz w:val="26"/>
                <w:szCs w:val="26"/>
              </w:rPr>
              <w:t>Проблемы выбора будущей сферы трудовой и профессиональной деятельности, профессии, планы на ближайшее будущее.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AA5B24" w:rsidRPr="00A24628" w:rsidTr="00DF7633">
        <w:trPr>
          <w:trHeight w:val="6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4628">
              <w:rPr>
                <w:rFonts w:ascii="Times New Roman" w:hAnsi="Times New Roman"/>
                <w:sz w:val="26"/>
                <w:szCs w:val="26"/>
              </w:rPr>
              <w:t>Языки международного общения и их роль при выборе профессии в современном мире.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A5B24" w:rsidRPr="00A24628" w:rsidTr="00DF763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24" w:rsidRPr="00A24628" w:rsidRDefault="00AA5B24" w:rsidP="00B66CB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6D1271" w:rsidP="006D1271">
            <w:pPr>
              <w:tabs>
                <w:tab w:val="left" w:pos="27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24" w:rsidRPr="00A24628" w:rsidRDefault="00AA5B24" w:rsidP="00B66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246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AA5B24" w:rsidRPr="00A24628" w:rsidRDefault="00AA5B24" w:rsidP="00AA5B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A5B24" w:rsidRPr="00A24628" w:rsidRDefault="00AA5B24" w:rsidP="00AA5B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A5B24" w:rsidRPr="00A24628" w:rsidRDefault="00AA5B24" w:rsidP="00AA5B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A5B24" w:rsidRPr="00A24628" w:rsidRDefault="00AA5B24" w:rsidP="00AA5B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A5B24" w:rsidRPr="00A24628" w:rsidRDefault="00AA5B24" w:rsidP="00AA5B2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4628" w:rsidRDefault="00A24628" w:rsidP="00A24628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D1271" w:rsidRDefault="006D1271" w:rsidP="0015080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6D1271" w:rsidRDefault="006D1271" w:rsidP="0015080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2537AA" w:rsidRDefault="002537AA" w:rsidP="0015080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  <w:r w:rsidRPr="006D1271"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  <w:lastRenderedPageBreak/>
        <w:t>Содержание учебного предмета</w:t>
      </w:r>
    </w:p>
    <w:p w:rsidR="006D1271" w:rsidRPr="006D1271" w:rsidRDefault="006D1271" w:rsidP="00150801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 Речевая компетенция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 xml:space="preserve">Предметное содержание устной и письменной речи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Предметное содержание устной и письменной речи, предлагаемое в программе, полностью включает темы, предусмотренные федеральным компонентом государственного стандарта по иностранным языкам. Ряд тем рассматривается более подробно.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Старшеклассники учатся общаться в ситуациях социально-бытовой, учебно-трудовой и социально-культурной сфер общения в рамках следующей тематики: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Социально-бытовая сфера.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Межличностные отношения.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Социально-культурная сфера.</w:t>
      </w:r>
      <w:r w:rsidR="00D47417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="009771A6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Научно-технический прогресс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Учебно-трудовая сфера.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Современный мир профессий. Планы на будущее, проблема выбора профессии. Роль иностранного языка в современном мире.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Виды речевой деятельности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Говорение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Диалогическая речь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Монологическая речь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="009771A6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обосновывая свои намерения/</w:t>
      </w:r>
      <w:proofErr w:type="gramStart"/>
      <w:r w:rsidR="009771A6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поступки 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;</w:t>
      </w:r>
      <w:proofErr w:type="gram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рассуждать о фактах/событиях, приводя примеры, аргументы, </w:t>
      </w:r>
      <w:r w:rsidR="009771A6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делая выводы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описывать особенности жизни и культуры своей страны и страны/стран изучаемого языка. </w:t>
      </w:r>
    </w:p>
    <w:p w:rsidR="005C30B7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>Аудирование</w:t>
      </w:r>
      <w:proofErr w:type="spellEnd"/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понимания основного содержания несложных аудио- и видеотекстов монологического и диалогического характера </w:t>
      </w:r>
      <w:r w:rsidR="009771A6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–теле- и радиопередач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 актуальные темы;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- выборочного понимания необходимой информации в прагматических текстах (рекламе, объявлениях);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аудиотекста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необходимую/интересующую информацию.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Чтение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межпредметных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связей):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Письменная речь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Языковые знания и навыки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Орфография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Произносительная сторона речи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слухо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-произносительных навыков, в том числе применительно к новому языковому материалу.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Лексическая сторона речи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 xml:space="preserve">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соответствующих лексических навыков.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  <w:t xml:space="preserve">Грамматическая сторона речи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видо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-временных</w:t>
      </w:r>
      <w:proofErr w:type="gram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Социокультурные знания и умения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межпредметного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характера.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Компенсаторные умения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аудировании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Учебно-познавательные умения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аудиотексте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обобщать информацию, фиксировать содержание сообщений, выделять нужную/основную информацию из различных источников на изучаемом иностранном языке.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 </w:t>
      </w: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2537AA" w:rsidRDefault="002537AA" w:rsidP="00220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896878" w:rsidRDefault="00896878" w:rsidP="00220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896878" w:rsidRDefault="00896878" w:rsidP="00220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896878" w:rsidRPr="00A24628" w:rsidRDefault="00896878" w:rsidP="00220F1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6D1271" w:rsidRDefault="006D1271" w:rsidP="009F5E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6D1271" w:rsidRDefault="006D1271" w:rsidP="009F5E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6D1271" w:rsidRDefault="006D1271" w:rsidP="009F5E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6D1271" w:rsidRDefault="006D1271" w:rsidP="009F5E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2537AA" w:rsidRDefault="002537AA" w:rsidP="009F5E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  <w:r w:rsidRPr="006D1271"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  <w:lastRenderedPageBreak/>
        <w:t>Требования к уровню подготовки выпускников</w:t>
      </w:r>
    </w:p>
    <w:p w:rsidR="006D1271" w:rsidRPr="006D1271" w:rsidRDefault="006D1271" w:rsidP="009F5E2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 w:cs="Times New Roman"/>
          <w:b/>
          <w:caps/>
          <w:color w:val="000000"/>
          <w:sz w:val="26"/>
          <w:szCs w:val="26"/>
          <w:lang w:eastAsia="en-US"/>
        </w:rPr>
      </w:pPr>
    </w:p>
    <w:p w:rsidR="002537AA" w:rsidRPr="00A24628" w:rsidRDefault="002537AA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результате изучения иностранного языка</w:t>
      </w:r>
      <w:r w:rsidR="006D12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(английского)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на базовом уровне ученик должен: 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знать/понимать: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значение изученных грамматических явлений в расширенном объеме (</w:t>
      </w:r>
      <w:proofErr w:type="spellStart"/>
      <w:proofErr w:type="gram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видо</w:t>
      </w:r>
      <w:proofErr w:type="spell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-временные</w:t>
      </w:r>
      <w:proofErr w:type="gramEnd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уметь: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говорение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proofErr w:type="spellStart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аудирование</w:t>
      </w:r>
      <w:proofErr w:type="spellEnd"/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обучения: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чтение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читать аутентичные тексты различных стилей: публицистические, художественные, научно-популярные,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письменная речь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общения с представителями других стран, ориентации в современном поликультурном мире;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расширения возможностей в выборе будущей профессиональной деятельности;</w:t>
      </w:r>
    </w:p>
    <w:p w:rsidR="009F5E2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E23D9F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23D9F" w:rsidRPr="00A24628" w:rsidRDefault="00E23D9F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E23D9F" w:rsidRPr="00A24628" w:rsidRDefault="00E23D9F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E23D9F" w:rsidRPr="00A24628" w:rsidRDefault="00E23D9F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E23D9F" w:rsidRPr="00A24628" w:rsidRDefault="00E23D9F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E23D9F" w:rsidRDefault="00E23D9F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A24628" w:rsidRDefault="00A24628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E23D9F" w:rsidRDefault="00E23D9F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D47417" w:rsidRPr="00A24628" w:rsidRDefault="00D47417" w:rsidP="00E23D9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6D1271" w:rsidRDefault="006D1271" w:rsidP="002E6E7D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6D1271" w:rsidRDefault="006D1271" w:rsidP="002E6E7D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6D1271" w:rsidRDefault="006D1271" w:rsidP="002E6E7D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6D1271" w:rsidRDefault="006D1271" w:rsidP="002E6E7D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6D1271" w:rsidRDefault="006D1271" w:rsidP="002E6E7D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D4633D" w:rsidRDefault="00D4633D" w:rsidP="002E6E7D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  <w:r w:rsidRPr="006D1271"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  <w:lastRenderedPageBreak/>
        <w:t>Список литературы</w:t>
      </w:r>
    </w:p>
    <w:p w:rsidR="006D1271" w:rsidRPr="006D1271" w:rsidRDefault="006D1271" w:rsidP="002E6E7D">
      <w:pPr>
        <w:autoSpaceDE w:val="0"/>
        <w:autoSpaceDN w:val="0"/>
        <w:adjustRightInd w:val="0"/>
        <w:spacing w:after="0"/>
        <w:ind w:right="-284"/>
        <w:jc w:val="center"/>
        <w:rPr>
          <w:rFonts w:ascii="Times New Roman" w:eastAsiaTheme="minorHAnsi" w:hAnsi="Times New Roman" w:cs="Times New Roman"/>
          <w:b/>
          <w:caps/>
          <w:sz w:val="26"/>
          <w:szCs w:val="26"/>
          <w:lang w:eastAsia="en-US"/>
        </w:rPr>
      </w:pPr>
    </w:p>
    <w:p w:rsidR="00D4633D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1. </w:t>
      </w:r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Афанасьева О.В. Рабочая п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рограмма курса английского языка к УМК </w:t>
      </w:r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Радужный английский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/</w:t>
      </w:r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Афанасьева О.В., Михеева И.В., Баранова К.М., Колесникова Е.А. 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/ 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английский </w:t>
      </w:r>
      <w:proofErr w:type="gramStart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язык 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для</w:t>
      </w:r>
      <w:proofErr w:type="gramEnd"/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10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-11 классов </w:t>
      </w:r>
      <w:proofErr w:type="spellStart"/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общеобраз</w:t>
      </w:r>
      <w:proofErr w:type="spellEnd"/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spellStart"/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учрежд</w:t>
      </w:r>
      <w:proofErr w:type="spellEnd"/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– 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Москва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: 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Дрофа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 201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</w:t>
      </w:r>
      <w:r w:rsidR="00D4633D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– 56с. </w:t>
      </w:r>
    </w:p>
    <w:p w:rsidR="00D4633D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bookmarkStart w:id="0" w:name="_GoBack"/>
      <w:bookmarkEnd w:id="0"/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3</w:t>
      </w:r>
      <w:r w:rsidR="006D12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 </w:t>
      </w:r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Афанасьева О.В Английский язык: Радужный английский/Афанасьева О.В., Михеева И.В., Баранова К.М.: Учебник для 11 </w:t>
      </w:r>
      <w:proofErr w:type="spellStart"/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кл</w:t>
      </w:r>
      <w:proofErr w:type="spellEnd"/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spellStart"/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общеобраз</w:t>
      </w:r>
      <w:proofErr w:type="spellEnd"/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spellStart"/>
      <w:proofErr w:type="gramStart"/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учрежд</w:t>
      </w:r>
      <w:proofErr w:type="spellEnd"/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.-</w:t>
      </w:r>
      <w:proofErr w:type="gramEnd"/>
      <w:r w:rsidR="00A05A72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Москва: Дрофа, 2016. – 205с</w:t>
      </w:r>
    </w:p>
    <w:p w:rsidR="0068436C" w:rsidRPr="00A24628" w:rsidRDefault="009F5E2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5. 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Афанасьева О.В Английский язык: Книга для учителя к учебнику Радужный английский/ Афанасьева О.В., Михеева И.В., Баранова К.М.  </w:t>
      </w:r>
      <w:proofErr w:type="gramStart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/ </w:t>
      </w:r>
      <w:r w:rsidR="0068436C" w:rsidRPr="006D12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val="en-US" w:eastAsia="en-US"/>
        </w:rPr>
        <w:t>Rainbow</w:t>
      </w:r>
      <w:proofErr w:type="gramEnd"/>
      <w:r w:rsidR="0068436C" w:rsidRPr="006D1271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val="en-US" w:eastAsia="en-US"/>
        </w:rPr>
        <w:t>English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для 11 </w:t>
      </w:r>
      <w:proofErr w:type="spellStart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кл</w:t>
      </w:r>
      <w:proofErr w:type="spellEnd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spellStart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общеобразоват</w:t>
      </w:r>
      <w:proofErr w:type="spellEnd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</w:t>
      </w:r>
      <w:proofErr w:type="spellStart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учрежд</w:t>
      </w:r>
      <w:proofErr w:type="spellEnd"/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.- Москва: Дрофа, 201</w:t>
      </w:r>
      <w:r w:rsidR="008C52C4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6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. – </w:t>
      </w:r>
      <w:r w:rsidR="008C52C4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482</w:t>
      </w:r>
      <w:r w:rsidR="0068436C" w:rsidRPr="00A24628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с. </w:t>
      </w:r>
    </w:p>
    <w:p w:rsidR="0068436C" w:rsidRPr="00A24628" w:rsidRDefault="0068436C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D4633D" w:rsidRPr="00A24628" w:rsidRDefault="00D4633D" w:rsidP="009F5E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sectPr w:rsidR="00D4633D" w:rsidRPr="00A24628" w:rsidSect="006D1271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6A" w:rsidRDefault="0030656A" w:rsidP="005C30B7">
      <w:pPr>
        <w:spacing w:after="0" w:line="240" w:lineRule="auto"/>
      </w:pPr>
      <w:r>
        <w:separator/>
      </w:r>
    </w:p>
  </w:endnote>
  <w:endnote w:type="continuationSeparator" w:id="0">
    <w:p w:rsidR="0030656A" w:rsidRDefault="0030656A" w:rsidP="005C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17" w:rsidRDefault="00D47417">
    <w:pPr>
      <w:pStyle w:val="ab"/>
      <w:jc w:val="center"/>
    </w:pPr>
  </w:p>
  <w:p w:rsidR="005C30B7" w:rsidRDefault="005C30B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25960"/>
      <w:docPartObj>
        <w:docPartGallery w:val="Page Numbers (Bottom of Page)"/>
        <w:docPartUnique/>
      </w:docPartObj>
    </w:sdtPr>
    <w:sdtEndPr/>
    <w:sdtContent>
      <w:p w:rsidR="00150801" w:rsidRDefault="0030656A">
        <w:pPr>
          <w:pStyle w:val="ab"/>
          <w:jc w:val="center"/>
        </w:pPr>
      </w:p>
    </w:sdtContent>
  </w:sdt>
  <w:p w:rsidR="00150801" w:rsidRDefault="001508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6A" w:rsidRDefault="0030656A" w:rsidP="005C30B7">
      <w:pPr>
        <w:spacing w:after="0" w:line="240" w:lineRule="auto"/>
      </w:pPr>
      <w:r>
        <w:separator/>
      </w:r>
    </w:p>
  </w:footnote>
  <w:footnote w:type="continuationSeparator" w:id="0">
    <w:p w:rsidR="0030656A" w:rsidRDefault="0030656A" w:rsidP="005C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C7"/>
    <w:multiLevelType w:val="hybridMultilevel"/>
    <w:tmpl w:val="51DE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E0B"/>
    <w:rsid w:val="00073A29"/>
    <w:rsid w:val="00150801"/>
    <w:rsid w:val="00185C0C"/>
    <w:rsid w:val="00220F1F"/>
    <w:rsid w:val="002423D2"/>
    <w:rsid w:val="002537AA"/>
    <w:rsid w:val="002B48BE"/>
    <w:rsid w:val="002E6E7D"/>
    <w:rsid w:val="0030656A"/>
    <w:rsid w:val="00413CBA"/>
    <w:rsid w:val="00525144"/>
    <w:rsid w:val="00535D2C"/>
    <w:rsid w:val="005C30B7"/>
    <w:rsid w:val="005F60E6"/>
    <w:rsid w:val="006327D9"/>
    <w:rsid w:val="0068436C"/>
    <w:rsid w:val="006A70B5"/>
    <w:rsid w:val="006D1271"/>
    <w:rsid w:val="008641D0"/>
    <w:rsid w:val="008762EC"/>
    <w:rsid w:val="00896878"/>
    <w:rsid w:val="008A51AA"/>
    <w:rsid w:val="008C52C4"/>
    <w:rsid w:val="009771A6"/>
    <w:rsid w:val="009F5E2C"/>
    <w:rsid w:val="00A05A72"/>
    <w:rsid w:val="00A24628"/>
    <w:rsid w:val="00A3588B"/>
    <w:rsid w:val="00A64EB2"/>
    <w:rsid w:val="00A80609"/>
    <w:rsid w:val="00AA5B24"/>
    <w:rsid w:val="00B07977"/>
    <w:rsid w:val="00B8201B"/>
    <w:rsid w:val="00B93521"/>
    <w:rsid w:val="00B96EDC"/>
    <w:rsid w:val="00BA6A21"/>
    <w:rsid w:val="00BF2580"/>
    <w:rsid w:val="00BF4BAD"/>
    <w:rsid w:val="00CA05A2"/>
    <w:rsid w:val="00D4633D"/>
    <w:rsid w:val="00D47417"/>
    <w:rsid w:val="00D65E0B"/>
    <w:rsid w:val="00D84C94"/>
    <w:rsid w:val="00DF7633"/>
    <w:rsid w:val="00E23D9F"/>
    <w:rsid w:val="00F0069D"/>
    <w:rsid w:val="00F35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F66E"/>
  <w15:docId w15:val="{09347D2C-C46B-44A6-B216-5572D0CA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0B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CA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6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0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D6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0"/>
    <w:link w:val="3"/>
    <w:rsid w:val="00CA05A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7">
    <w:name w:val="Subtitle"/>
    <w:basedOn w:val="a"/>
    <w:next w:val="a"/>
    <w:link w:val="a8"/>
    <w:qFormat/>
    <w:rsid w:val="00CA05A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CA05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30B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C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0B7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A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FBB95-6658-419F-B16C-20881474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2020-02-13T07:04:00Z</dcterms:created>
  <dcterms:modified xsi:type="dcterms:W3CDTF">2020-02-15T13:59:00Z</dcterms:modified>
</cp:coreProperties>
</file>